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F77F49">
        <w:rPr>
          <w:i/>
          <w:smallCaps/>
          <w:szCs w:val="24"/>
        </w:rPr>
        <w:t>od 2016/17 do 2018/19</w:t>
      </w:r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31213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312137">
              <w:rPr>
                <w:b w:val="0"/>
                <w:color w:val="auto"/>
                <w:sz w:val="22"/>
              </w:rPr>
              <w:t>Prawo wyznaniowe w Polsce i UE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312137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312137">
              <w:rPr>
                <w:b w:val="0"/>
                <w:color w:val="auto"/>
                <w:sz w:val="22"/>
              </w:rPr>
              <w:t>PRA36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F77F49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Katedra Historii</w:t>
            </w:r>
            <w:r w:rsidR="00312137" w:rsidRPr="00312137">
              <w:rPr>
                <w:b w:val="0"/>
                <w:color w:val="auto"/>
                <w:sz w:val="22"/>
              </w:rPr>
              <w:t xml:space="preserve"> Prawa i Doktryn Polityczno-Prawnych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EC4E3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31213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312137">
              <w:rPr>
                <w:b w:val="0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312137">
              <w:rPr>
                <w:b w:val="0"/>
                <w:color w:val="auto"/>
                <w:sz w:val="22"/>
              </w:rPr>
              <w:t>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03388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hab.</w:t>
            </w:r>
            <w:r w:rsidR="00F77F49">
              <w:rPr>
                <w:b w:val="0"/>
                <w:color w:val="auto"/>
                <w:sz w:val="22"/>
              </w:rPr>
              <w:t xml:space="preserve"> prof. UR </w:t>
            </w:r>
            <w:r>
              <w:rPr>
                <w:b w:val="0"/>
                <w:color w:val="auto"/>
                <w:sz w:val="22"/>
              </w:rPr>
              <w:t xml:space="preserve"> Piotr Steczkowski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03388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</w:t>
            </w:r>
            <w:r w:rsidR="00F77F49">
              <w:rPr>
                <w:b w:val="0"/>
                <w:color w:val="auto"/>
                <w:sz w:val="22"/>
              </w:rPr>
              <w:t xml:space="preserve">prof. UR </w:t>
            </w:r>
            <w:bookmarkStart w:id="0" w:name="_GoBack"/>
            <w:bookmarkEnd w:id="0"/>
            <w:r>
              <w:rPr>
                <w:b w:val="0"/>
                <w:color w:val="auto"/>
                <w:sz w:val="22"/>
              </w:rPr>
              <w:t>Piotr Steczkowski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Wykł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Konw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Sem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Prakt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</w:rPr>
            </w:pPr>
            <w:r w:rsidRPr="0053135E">
              <w:rPr>
                <w:b/>
                <w:sz w:val="22"/>
                <w:szCs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137" w:rsidRDefault="00312137" w:rsidP="00CC5E12">
            <w:pPr>
              <w:pStyle w:val="centralniewrubryce"/>
              <w:spacing w:before="0" w:after="0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8D4B23">
              <w:rPr>
                <w:szCs w:val="24"/>
              </w:rPr>
              <w:t xml:space="preserve"> </w:t>
            </w:r>
          </w:p>
          <w:p w:rsidR="00CC5E12" w:rsidRPr="005E6E85" w:rsidRDefault="00312137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8D4B23">
              <w:rPr>
                <w:szCs w:val="24"/>
              </w:rPr>
              <w:t>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312137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Default="00CC5E12" w:rsidP="00CC5E12">
      <w:pPr>
        <w:pStyle w:val="Punktygwne"/>
        <w:spacing w:before="0" w:after="0"/>
        <w:rPr>
          <w:b w:val="0"/>
        </w:rPr>
      </w:pPr>
    </w:p>
    <w:p w:rsidR="00312137" w:rsidRPr="00312137" w:rsidRDefault="00312137" w:rsidP="00CC5E12">
      <w:pPr>
        <w:pStyle w:val="Punktygwne"/>
        <w:spacing w:before="0" w:after="0"/>
        <w:rPr>
          <w:b w:val="0"/>
          <w:smallCaps w:val="0"/>
        </w:rPr>
      </w:pPr>
      <w:r w:rsidRPr="00312137">
        <w:rPr>
          <w:b w:val="0"/>
          <w:smallCaps w:val="0"/>
        </w:rPr>
        <w:t>Wykład: egzamin – egzamin ustny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AF4A52" w:rsidTr="00CC5E12">
        <w:tc>
          <w:tcPr>
            <w:tcW w:w="9778" w:type="dxa"/>
          </w:tcPr>
          <w:p w:rsidR="00CC5E12" w:rsidRPr="005E6E85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Cs w:val="20"/>
              </w:rPr>
            </w:pPr>
          </w:p>
          <w:p w:rsidR="00EC4E3A" w:rsidRPr="00EC4E3A" w:rsidRDefault="00EC4E3A" w:rsidP="00EC4E3A">
            <w:pPr>
              <w:spacing w:after="0" w:line="240" w:lineRule="auto"/>
              <w:jc w:val="both"/>
              <w:rPr>
                <w:rFonts w:eastAsia="Times New Roman" w:cs="Times-Bold"/>
                <w:bCs/>
                <w:sz w:val="24"/>
                <w:szCs w:val="24"/>
                <w:lang w:eastAsia="pl-PL"/>
              </w:rPr>
            </w:pPr>
            <w:r w:rsidRPr="00EC4E3A">
              <w:rPr>
                <w:rFonts w:eastAsia="Times New Roman" w:cs="Times-Bold"/>
                <w:bCs/>
                <w:sz w:val="24"/>
                <w:szCs w:val="24"/>
                <w:lang w:eastAsia="pl-PL"/>
              </w:rPr>
              <w:t>Ogólna wiedza z zakresu religioznawstwa na poziomie szkoły ponadgimnazjalnej;</w:t>
            </w:r>
          </w:p>
          <w:p w:rsidR="00CC5E12" w:rsidRPr="00312137" w:rsidRDefault="00EC4E3A" w:rsidP="00EC4E3A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 w:val="22"/>
              </w:rPr>
            </w:pPr>
            <w:r w:rsidRPr="00EC4E3A">
              <w:rPr>
                <w:rFonts w:ascii="Calibri" w:eastAsia="Times New Roman" w:hAnsi="Calibri" w:cs="Times-Bold"/>
                <w:b w:val="0"/>
                <w:bCs/>
                <w:smallCaps w:val="0"/>
                <w:szCs w:val="24"/>
                <w:lang w:eastAsia="pl-PL"/>
              </w:rPr>
              <w:t>Znajomość podstawowych pojęć prawnych</w:t>
            </w:r>
          </w:p>
          <w:p w:rsidR="00CC5E12" w:rsidRPr="005E6E85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03388A" w:rsidRPr="00AF4A52" w:rsidTr="00BE66A9">
        <w:tc>
          <w:tcPr>
            <w:tcW w:w="668" w:type="dxa"/>
            <w:vAlign w:val="center"/>
          </w:tcPr>
          <w:p w:rsidR="0003388A" w:rsidRPr="0053135E" w:rsidRDefault="0003388A" w:rsidP="00BE66A9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 w:rsidRPr="0053135E">
              <w:rPr>
                <w:b w:val="0"/>
                <w:sz w:val="22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:rsidR="0003388A" w:rsidRPr="00312137" w:rsidRDefault="0003388A" w:rsidP="00BE66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pl-PL"/>
              </w:rPr>
            </w:pPr>
            <w:r w:rsidRPr="00312137">
              <w:rPr>
                <w:rFonts w:ascii="Times New Roman" w:eastAsia="Times New Roman" w:hAnsi="Times New Roman"/>
                <w:bCs/>
                <w:i/>
                <w:lang w:eastAsia="pl-PL"/>
              </w:rPr>
              <w:t>- poznanie podstaw polskiego prawa wyznaniowego</w:t>
            </w:r>
          </w:p>
          <w:p w:rsidR="0003388A" w:rsidRPr="0053135E" w:rsidRDefault="0003388A" w:rsidP="00BE66A9">
            <w:pPr>
              <w:pStyle w:val="Podpunkty"/>
              <w:spacing w:before="40" w:after="40"/>
              <w:ind w:left="0"/>
              <w:jc w:val="left"/>
              <w:rPr>
                <w:b w:val="0"/>
                <w:i/>
              </w:rPr>
            </w:pPr>
          </w:p>
        </w:tc>
      </w:tr>
      <w:tr w:rsidR="0003388A" w:rsidRPr="00AF4A52" w:rsidTr="00BE66A9">
        <w:tc>
          <w:tcPr>
            <w:tcW w:w="668" w:type="dxa"/>
            <w:vAlign w:val="center"/>
          </w:tcPr>
          <w:p w:rsidR="0003388A" w:rsidRPr="0053135E" w:rsidRDefault="0003388A" w:rsidP="00BE66A9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846" w:type="dxa"/>
            <w:vAlign w:val="center"/>
          </w:tcPr>
          <w:p w:rsidR="0003388A" w:rsidRPr="0053135E" w:rsidRDefault="0003388A" w:rsidP="00BE66A9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12137">
              <w:rPr>
                <w:b w:val="0"/>
                <w:bCs/>
                <w:i/>
                <w:sz w:val="22"/>
                <w:szCs w:val="22"/>
              </w:rPr>
              <w:t>- poznanie zasad Unii Europejskiej w relacjach z kościołami i związkami wyznaniowymi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878"/>
        <w:gridCol w:w="1851"/>
      </w:tblGrid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03388A" w:rsidRPr="00646141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46141">
              <w:rPr>
                <w:rFonts w:eastAsia="Cambria"/>
                <w:b w:val="0"/>
                <w:smallCaps w:val="0"/>
              </w:rPr>
              <w:t>zna podstawowe regulacje dotyczące sfery wolności religijnej w wymiarze indywidualnym i społecznym</w:t>
            </w:r>
          </w:p>
        </w:tc>
        <w:tc>
          <w:tcPr>
            <w:tcW w:w="1873" w:type="dxa"/>
          </w:tcPr>
          <w:p w:rsidR="0003388A" w:rsidRPr="00646141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46141">
              <w:rPr>
                <w:rFonts w:eastAsia="Cambria"/>
                <w:b w:val="0"/>
              </w:rPr>
              <w:t>K_WO1+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03388A" w:rsidRPr="00646141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46141">
              <w:rPr>
                <w:rFonts w:eastAsia="Cambria"/>
                <w:b w:val="0"/>
                <w:smallCaps w:val="0"/>
              </w:rPr>
              <w:t>definiuje zakres i treść prawa do wolności religijnej</w:t>
            </w:r>
          </w:p>
        </w:tc>
        <w:tc>
          <w:tcPr>
            <w:tcW w:w="1873" w:type="dxa"/>
          </w:tcPr>
          <w:p w:rsidR="0003388A" w:rsidRPr="00646141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646141">
              <w:rPr>
                <w:rFonts w:eastAsia="Cambria"/>
                <w:b w:val="0"/>
              </w:rPr>
              <w:t>K_WO1+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  <w:smallCaps w:val="0"/>
              </w:rPr>
              <w:t>zna przepisy określające zakres i zasady prowadzenia działalności przez kościoły i związki wyznaniowe w Polsce</w:t>
            </w:r>
          </w:p>
        </w:tc>
        <w:tc>
          <w:tcPr>
            <w:tcW w:w="1873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</w:rPr>
              <w:t>K_WO1+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  <w:smallCaps w:val="0"/>
              </w:rPr>
              <w:t>zna zasady prawne określające stosunki UE z kościołami i związkami wyznaniowymi działającymi w państwach członkowskich</w:t>
            </w:r>
          </w:p>
        </w:tc>
        <w:tc>
          <w:tcPr>
            <w:tcW w:w="1873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</w:rPr>
              <w:t>K_WO1+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  <w:smallCaps w:val="0"/>
              </w:rPr>
              <w:t>definiuje różnice pomiędzy prawem wewnętrznym kościołów i związków wyznaniowych a prawem wyznaniowym</w:t>
            </w:r>
          </w:p>
        </w:tc>
        <w:tc>
          <w:tcPr>
            <w:tcW w:w="1873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</w:rPr>
              <w:t>K_UO3+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  <w:smallCaps w:val="0"/>
              </w:rPr>
              <w:t>interpretuje przepisy wyznaniowe konstytucji i ustaw wyznaniowych</w:t>
            </w:r>
          </w:p>
        </w:tc>
        <w:tc>
          <w:tcPr>
            <w:tcW w:w="1873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</w:rPr>
              <w:t>K_UO3+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03388A" w:rsidRPr="00C97AF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97AF5">
              <w:rPr>
                <w:rFonts w:eastAsia="Cambria"/>
                <w:b w:val="0"/>
                <w:smallCaps w:val="0"/>
              </w:rPr>
              <w:t>rozpoznaje organy administracji publicznej kompetentne w sprawach wyznaniowych</w:t>
            </w:r>
          </w:p>
        </w:tc>
        <w:tc>
          <w:tcPr>
            <w:tcW w:w="187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</w:rPr>
              <w:t>K_UO3+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  <w:smallCaps w:val="0"/>
              </w:rPr>
              <w:t>określa kompetencje organów UE w sprawach religijnych i światopoglądowych</w:t>
            </w:r>
          </w:p>
        </w:tc>
        <w:tc>
          <w:tcPr>
            <w:tcW w:w="187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</w:rPr>
              <w:t>K_UO3+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  <w:smallCaps w:val="0"/>
              </w:rPr>
              <w:t>jest zorientowany na samodzielne i krytycznie uzupełnianie pozyskanej wiedzę i doskonalenie zdobytych umiejętności</w:t>
            </w:r>
          </w:p>
        </w:tc>
        <w:tc>
          <w:tcPr>
            <w:tcW w:w="187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</w:rPr>
              <w:t>K_KO7+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  <w:smallCaps w:val="0"/>
              </w:rPr>
              <w:t>chętnie podejmuje się przedstawiania w przejrzysty sposób zdobytej wiedzy osobom bez szerszej wiedzy prawniczej</w:t>
            </w:r>
          </w:p>
        </w:tc>
        <w:tc>
          <w:tcPr>
            <w:tcW w:w="187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</w:rPr>
              <w:t>K_K10+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  <w:smallCaps w:val="0"/>
              </w:rPr>
              <w:t>dyskutuje o zagadnieniach instytucjonalnych relacji pomiędzy państwem a kościołami i</w:t>
            </w:r>
            <w:r w:rsidRPr="00312137">
              <w:rPr>
                <w:rFonts w:eastAsia="Cambria"/>
              </w:rPr>
              <w:t xml:space="preserve"> </w:t>
            </w:r>
            <w:r w:rsidRPr="00481138">
              <w:rPr>
                <w:rFonts w:eastAsia="Cambria"/>
                <w:b w:val="0"/>
                <w:smallCaps w:val="0"/>
              </w:rPr>
              <w:t>związkami wyznaniowymi we współczesnym świecie</w:t>
            </w:r>
          </w:p>
        </w:tc>
        <w:tc>
          <w:tcPr>
            <w:tcW w:w="187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</w:rPr>
              <w:t>K_K10+</w:t>
            </w:r>
          </w:p>
        </w:tc>
      </w:tr>
      <w:tr w:rsidR="0003388A" w:rsidRPr="00AF4A52" w:rsidTr="00BE66A9">
        <w:tc>
          <w:tcPr>
            <w:tcW w:w="1701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1138">
              <w:rPr>
                <w:rFonts w:eastAsia="Cambria"/>
                <w:b w:val="0"/>
                <w:smallCaps w:val="0"/>
              </w:rPr>
              <w:t>zachowuje krytycyzm w wyrażaniu opinii na temat jakości obowiązującego prawa</w:t>
            </w:r>
          </w:p>
        </w:tc>
        <w:tc>
          <w:tcPr>
            <w:tcW w:w="187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12137">
              <w:rPr>
                <w:rFonts w:ascii="Calibri" w:eastAsia="Cambria" w:hAnsi="Calibri"/>
                <w:b w:val="0"/>
                <w:smallCaps w:val="0"/>
              </w:rPr>
              <w:t>K_K10+</w:t>
            </w:r>
          </w:p>
        </w:tc>
      </w:tr>
    </w:tbl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54"/>
              <w:gridCol w:w="1249"/>
            </w:tblGrid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Pojęcie prawa wyznaniowego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Idea wolności religijnej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Konstytucyjne podstawy polskiego prawa wyznaniowego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2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Środki ochrony wolności sumienia i wyznania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Status osób duchownych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Osobowość cywilnoprawna kościołów i związków wyznaniowych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2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lastRenderedPageBreak/>
                    <w:t>Funkcje publiczne związków wyznaniowych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Działalność kościołów i związków wyznaniowych w sferze publicznej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Zakres spraw własnych kościołów i związków wyznaniowych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Majątek i finansowanie kościołów i związków wyznaniowych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Polska administracja wyznaniowa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1</w:t>
                  </w:r>
                </w:p>
              </w:tc>
            </w:tr>
            <w:tr w:rsidR="00EC4E3A" w:rsidTr="00EC4E3A">
              <w:tc>
                <w:tcPr>
                  <w:tcW w:w="5754" w:type="dxa"/>
                </w:tcPr>
                <w:p w:rsidR="00EC4E3A" w:rsidRDefault="00EC4E3A" w:rsidP="00EC4E3A">
                  <w:r>
                    <w:t>Stosunek UE do religii, kościołów i związków wyznaniowych</w:t>
                  </w:r>
                </w:p>
              </w:tc>
              <w:tc>
                <w:tcPr>
                  <w:tcW w:w="1249" w:type="dxa"/>
                </w:tcPr>
                <w:p w:rsidR="00EC4E3A" w:rsidRDefault="00EC4E3A" w:rsidP="00EC4E3A">
                  <w:r>
                    <w:t>2</w:t>
                  </w:r>
                </w:p>
              </w:tc>
            </w:tr>
          </w:tbl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>
      <w:pPr>
        <w:pStyle w:val="Akapitzlist"/>
        <w:spacing w:line="240" w:lineRule="auto"/>
        <w:ind w:left="1080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EC4E3A" w:rsidRPr="00EC4E3A" w:rsidRDefault="00EC4E3A" w:rsidP="00EC4E3A">
      <w:pPr>
        <w:spacing w:after="0" w:line="240" w:lineRule="auto"/>
        <w:jc w:val="both"/>
        <w:rPr>
          <w:rFonts w:eastAsia="Cambria"/>
          <w:sz w:val="24"/>
        </w:rPr>
      </w:pPr>
      <w:r w:rsidRPr="00EC4E3A">
        <w:rPr>
          <w:rFonts w:eastAsia="Cambria"/>
          <w:sz w:val="24"/>
        </w:rPr>
        <w:t>– Wykład</w:t>
      </w:r>
      <w:r w:rsidR="0003388A">
        <w:rPr>
          <w:rFonts w:eastAsia="Cambria"/>
          <w:sz w:val="24"/>
        </w:rPr>
        <w:t xml:space="preserve"> tradycyjny</w:t>
      </w:r>
    </w:p>
    <w:p w:rsidR="00CC5E12" w:rsidRPr="008342B3" w:rsidRDefault="00EC4E3A" w:rsidP="00EC4E3A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EC4E3A">
        <w:rPr>
          <w:rFonts w:ascii="Calibri" w:eastAsia="Cambria" w:hAnsi="Calibri"/>
          <w:b w:val="0"/>
          <w:smallCaps w:val="0"/>
        </w:rPr>
        <w:t>– Analiza i interpretacja tekstu konstytucji, ustaw wyznaniowych i odpowiednich przepisów prawa unijnego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03" w:type="dxa"/>
          </w:tcPr>
          <w:p w:rsidR="0003388A" w:rsidRPr="00481138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 w trakcie zajęć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5103" w:type="dxa"/>
          </w:tcPr>
          <w:p w:rsidR="0003388A" w:rsidRPr="005E6E85" w:rsidRDefault="00E65B06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obserwacja</w:t>
            </w:r>
            <w:r w:rsidR="0003388A">
              <w:rPr>
                <w:b w:val="0"/>
                <w:sz w:val="22"/>
              </w:rPr>
              <w:t xml:space="preserve"> w trakcie zajęć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w:rsidR="0003388A" w:rsidRPr="00AF4A52" w:rsidTr="00BE66A9">
        <w:tc>
          <w:tcPr>
            <w:tcW w:w="1984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5103" w:type="dxa"/>
          </w:tcPr>
          <w:p w:rsidR="0003388A" w:rsidRPr="005E6E85" w:rsidRDefault="0003388A" w:rsidP="00BE66A9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</w:t>
            </w:r>
          </w:p>
        </w:tc>
        <w:tc>
          <w:tcPr>
            <w:tcW w:w="2233" w:type="dxa"/>
          </w:tcPr>
          <w:p w:rsidR="0003388A" w:rsidRPr="005E6E85" w:rsidRDefault="0003388A" w:rsidP="00BE66A9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CC5E12" w:rsidRPr="00312137" w:rsidTr="00312137">
        <w:tc>
          <w:tcPr>
            <w:tcW w:w="9244" w:type="dxa"/>
          </w:tcPr>
          <w:p w:rsidR="00CC5E12" w:rsidRPr="00EC4E3A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EC4E3A" w:rsidRPr="00EC4E3A" w:rsidRDefault="00EC4E3A" w:rsidP="00EC4E3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-Bold"/>
                <w:b/>
                <w:bCs/>
                <w:lang w:eastAsia="pl-PL"/>
              </w:rPr>
            </w:pPr>
            <w:r w:rsidRPr="00EC4E3A">
              <w:rPr>
                <w:rFonts w:eastAsia="Times New Roman" w:cs="Times-Bold"/>
                <w:b/>
                <w:bCs/>
                <w:lang w:eastAsia="pl-PL"/>
              </w:rPr>
              <w:t>A. Wykład</w:t>
            </w:r>
          </w:p>
          <w:p w:rsidR="00EC4E3A" w:rsidRPr="00EC4E3A" w:rsidRDefault="00EC4E3A" w:rsidP="00EC4E3A">
            <w:pPr>
              <w:spacing w:after="120" w:line="240" w:lineRule="auto"/>
              <w:jc w:val="both"/>
              <w:rPr>
                <w:rFonts w:eastAsia="Cambria"/>
                <w:lang w:eastAsia="pl-PL"/>
              </w:rPr>
            </w:pPr>
            <w:r w:rsidRPr="00EC4E3A">
              <w:rPr>
                <w:rFonts w:eastAsia="Cambria"/>
                <w:lang w:eastAsia="pl-PL"/>
              </w:rPr>
              <w:t>Egzamin ustny przeprowadzany jest według następujących zasad:</w:t>
            </w:r>
          </w:p>
          <w:p w:rsidR="00EC4E3A" w:rsidRPr="00EC4E3A" w:rsidRDefault="00EC4E3A" w:rsidP="00EC4E3A">
            <w:pPr>
              <w:spacing w:after="120" w:line="240" w:lineRule="auto"/>
              <w:jc w:val="both"/>
              <w:rPr>
                <w:rFonts w:eastAsia="Cambria"/>
                <w:lang w:eastAsia="pl-PL"/>
              </w:rPr>
            </w:pPr>
            <w:r w:rsidRPr="00EC4E3A">
              <w:rPr>
                <w:rFonts w:eastAsia="Cambria"/>
                <w:lang w:eastAsia="pl-PL"/>
              </w:rPr>
              <w:t>– student otrzymuje dwa pytania</w:t>
            </w:r>
          </w:p>
          <w:p w:rsidR="00EC4E3A" w:rsidRPr="00EC4E3A" w:rsidRDefault="00EC4E3A" w:rsidP="00EC4E3A">
            <w:pPr>
              <w:spacing w:after="120" w:line="240" w:lineRule="auto"/>
              <w:jc w:val="both"/>
              <w:rPr>
                <w:rFonts w:eastAsia="Cambria"/>
                <w:lang w:eastAsia="pl-PL"/>
              </w:rPr>
            </w:pPr>
            <w:r w:rsidRPr="00EC4E3A">
              <w:rPr>
                <w:rFonts w:eastAsia="Cambria"/>
                <w:lang w:eastAsia="pl-PL"/>
              </w:rPr>
              <w:t xml:space="preserve">– pytania egzaminacyjne obejmują tematy stanowiące przedmiot wykładu. Przed egzaminem </w:t>
            </w:r>
            <w:r w:rsidRPr="00EC4E3A">
              <w:rPr>
                <w:rFonts w:eastAsia="Cambria"/>
                <w:lang w:eastAsia="pl-PL"/>
              </w:rPr>
              <w:lastRenderedPageBreak/>
              <w:t>student otrzymuje wykaz zagadnień, w oparciu o który zostaną opracowane pytania</w:t>
            </w:r>
          </w:p>
          <w:p w:rsidR="00EC4E3A" w:rsidRPr="00EC4E3A" w:rsidRDefault="00EC4E3A" w:rsidP="00EC4E3A">
            <w:pPr>
              <w:spacing w:after="120" w:line="240" w:lineRule="auto"/>
              <w:jc w:val="both"/>
              <w:rPr>
                <w:rFonts w:eastAsia="Cambria"/>
                <w:lang w:eastAsia="pl-PL"/>
              </w:rPr>
            </w:pPr>
            <w:r w:rsidRPr="00EC4E3A">
              <w:rPr>
                <w:rFonts w:eastAsia="Cambria"/>
                <w:lang w:eastAsia="pl-PL"/>
              </w:rPr>
              <w:t>– Warunkiem złożenia egzaminu z wynikiem pozytywnym jest, co do zasady, udzielenie poprawnej odpowiedzi na przynajmniej jedno pytanie. Odpowiedź na każde z pytań jest oceniana samodzielnie, a ocena końcowa z egzaminu stanowi wypadkową ocen cząstkowych.</w:t>
            </w:r>
          </w:p>
          <w:p w:rsidR="00312137" w:rsidRPr="00EC4E3A" w:rsidRDefault="00EC4E3A" w:rsidP="00EC4E3A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EC4E3A">
              <w:rPr>
                <w:rFonts w:ascii="Calibri" w:eastAsia="Times New Roman" w:hAnsi="Calibri"/>
                <w:b w:val="0"/>
                <w:smallCaps w:val="0"/>
                <w:color w:val="000000"/>
                <w:sz w:val="22"/>
                <w:lang w:eastAsia="pl-PL"/>
              </w:rPr>
              <w:t>Kryteria oceny:   użyta terminologia, kompletność wypowiedzi,  aktualny stan prawny.</w:t>
            </w:r>
          </w:p>
          <w:p w:rsidR="00CC5E12" w:rsidRPr="00EC4E3A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</w:pPr>
            <w:r>
              <w:t>Wykład - 15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</w:pPr>
            <w:r>
              <w:t>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</w:pPr>
            <w:r>
              <w:t>30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</w:pPr>
            <w:r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51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312137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312137" w:rsidRDefault="00EC4E3A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EC4E3A">
        <w:rPr>
          <w:b w:val="0"/>
          <w:iCs/>
          <w:smallCaps w:val="0"/>
          <w:sz w:val="22"/>
        </w:rPr>
        <w:t>Nakład pracy związany z zajęciami wymagającymi bezpośredniego udziału nauczycieli</w:t>
      </w:r>
      <w:r>
        <w:rPr>
          <w:b w:val="0"/>
          <w:iCs/>
          <w:smallCaps w:val="0"/>
          <w:sz w:val="22"/>
        </w:rPr>
        <w:t xml:space="preserve"> </w:t>
      </w:r>
      <w:r w:rsidRPr="00EC4E3A">
        <w:rPr>
          <w:b w:val="0"/>
          <w:iCs/>
          <w:smallCaps w:val="0"/>
          <w:sz w:val="22"/>
        </w:rPr>
        <w:t>15+5+1= 21 godz. co odpowiada ok. 1 punktom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:rsidR="00EC4E3A" w:rsidRPr="00EC4E3A" w:rsidRDefault="00EC4E3A" w:rsidP="00EC4E3A">
            <w:pPr>
              <w:spacing w:after="0" w:line="240" w:lineRule="auto"/>
              <w:jc w:val="both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A. </w:t>
            </w:r>
            <w:proofErr w:type="spellStart"/>
            <w:r w:rsidRPr="00EC4E3A">
              <w:rPr>
                <w:rFonts w:eastAsia="Cambria"/>
              </w:rPr>
              <w:t>Mezglewski</w:t>
            </w:r>
            <w:proofErr w:type="spellEnd"/>
            <w:r w:rsidRPr="00EC4E3A">
              <w:rPr>
                <w:rFonts w:eastAsia="Cambria"/>
              </w:rPr>
              <w:t xml:space="preserve">, H. Misztal, P. Stanisz, </w:t>
            </w:r>
            <w:r w:rsidRPr="00EC4E3A">
              <w:rPr>
                <w:rFonts w:eastAsia="Cambria"/>
                <w:i/>
              </w:rPr>
              <w:t>Prawo wyznaniowe</w:t>
            </w:r>
            <w:r w:rsidR="002779F3">
              <w:rPr>
                <w:rFonts w:eastAsia="Cambria"/>
              </w:rPr>
              <w:t>, Warszawa 2011</w:t>
            </w:r>
            <w:r w:rsidRPr="00EC4E3A">
              <w:rPr>
                <w:rFonts w:eastAsia="Cambria"/>
              </w:rPr>
              <w:t>.</w:t>
            </w:r>
          </w:p>
          <w:p w:rsidR="00EC4E3A" w:rsidRPr="00EC4E3A" w:rsidRDefault="00EC4E3A" w:rsidP="00EC4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K. Orzeszyna, </w:t>
            </w:r>
            <w:r w:rsidRPr="00EC4E3A">
              <w:rPr>
                <w:rFonts w:eastAsia="Cambria"/>
                <w:i/>
              </w:rPr>
              <w:t>Podstawy relacji między państwem a kościołami w konstytucjach państw członkowskich i traktatach Unii Europejskiej</w:t>
            </w:r>
            <w:r w:rsidRPr="00EC4E3A">
              <w:rPr>
                <w:rFonts w:eastAsia="Cambria"/>
              </w:rPr>
              <w:t>, Wydawnictwo KUL, Lublin 2007</w:t>
            </w:r>
          </w:p>
          <w:p w:rsidR="00EC4E3A" w:rsidRPr="00EC4E3A" w:rsidRDefault="00EC4E3A" w:rsidP="00EC4E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 </w:t>
            </w:r>
            <w:proofErr w:type="spellStart"/>
            <w:r w:rsidRPr="00EC4E3A">
              <w:rPr>
                <w:rFonts w:eastAsia="Cambria"/>
              </w:rPr>
              <w:t>W.Góralski</w:t>
            </w:r>
            <w:proofErr w:type="spellEnd"/>
            <w:r w:rsidRPr="00EC4E3A">
              <w:rPr>
                <w:rFonts w:eastAsia="Cambria"/>
              </w:rPr>
              <w:t xml:space="preserve">, </w:t>
            </w:r>
            <w:r w:rsidRPr="00EC4E3A">
              <w:rPr>
                <w:rFonts w:eastAsia="Cambria"/>
                <w:i/>
              </w:rPr>
              <w:t>Wstęp do prawa wyznaniowego</w:t>
            </w:r>
            <w:r w:rsidRPr="00EC4E3A">
              <w:rPr>
                <w:rFonts w:eastAsia="Cambria"/>
              </w:rPr>
              <w:t>, Płock  2003.</w:t>
            </w:r>
          </w:p>
          <w:p w:rsidR="00CC5E12" w:rsidRPr="005E6E85" w:rsidRDefault="00EC4E3A" w:rsidP="00EC4E3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C4E3A">
              <w:rPr>
                <w:rFonts w:ascii="Calibri" w:eastAsia="Cambria" w:hAnsi="Calibri"/>
                <w:b w:val="0"/>
                <w:smallCaps w:val="0"/>
                <w:sz w:val="22"/>
              </w:rPr>
              <w:t xml:space="preserve">M. Pietrzak, </w:t>
            </w:r>
            <w:r w:rsidRPr="00EC4E3A">
              <w:rPr>
                <w:rFonts w:ascii="Calibri" w:eastAsia="Cambria" w:hAnsi="Calibri"/>
                <w:b w:val="0"/>
                <w:i/>
                <w:smallCaps w:val="0"/>
                <w:sz w:val="22"/>
              </w:rPr>
              <w:t>Prawo wyznaniowe</w:t>
            </w:r>
            <w:r w:rsidRPr="00EC4E3A">
              <w:rPr>
                <w:rFonts w:ascii="Calibri" w:eastAsia="Cambria" w:hAnsi="Calibri"/>
                <w:b w:val="0"/>
                <w:smallCaps w:val="0"/>
                <w:sz w:val="22"/>
              </w:rPr>
              <w:t>, Warszawa 2010</w:t>
            </w:r>
          </w:p>
        </w:tc>
      </w:tr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EC4E3A" w:rsidRPr="00EC4E3A" w:rsidRDefault="00EC4E3A" w:rsidP="00EC4E3A">
            <w:pPr>
              <w:spacing w:after="0" w:line="240" w:lineRule="auto"/>
              <w:jc w:val="both"/>
              <w:rPr>
                <w:rFonts w:eastAsia="Cambria"/>
              </w:rPr>
            </w:pPr>
            <w:proofErr w:type="spellStart"/>
            <w:r w:rsidRPr="00EC4E3A">
              <w:rPr>
                <w:rFonts w:eastAsia="Cambria"/>
              </w:rPr>
              <w:t>J.Dudziak</w:t>
            </w:r>
            <w:proofErr w:type="spellEnd"/>
            <w:r w:rsidRPr="00EC4E3A">
              <w:rPr>
                <w:rFonts w:eastAsia="Cambria"/>
              </w:rPr>
              <w:t xml:space="preserve">, </w:t>
            </w:r>
            <w:r w:rsidRPr="00EC4E3A">
              <w:rPr>
                <w:rFonts w:eastAsia="Cambria"/>
                <w:i/>
              </w:rPr>
              <w:t>Gwarancje wolności religijnej w konkordacie</w:t>
            </w:r>
            <w:r w:rsidRPr="00EC4E3A">
              <w:rPr>
                <w:rFonts w:eastAsia="Cambria"/>
              </w:rPr>
              <w:t>, Tarnów 2002.</w:t>
            </w:r>
          </w:p>
          <w:p w:rsidR="00EC4E3A" w:rsidRPr="00EC4E3A" w:rsidRDefault="00EC4E3A" w:rsidP="00EC4E3A">
            <w:pPr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M. Safjan, </w:t>
            </w:r>
            <w:r w:rsidRPr="00EC4E3A">
              <w:rPr>
                <w:rFonts w:eastAsia="Cambria"/>
                <w:i/>
              </w:rPr>
              <w:t>Wolność religijna w konstytucjach państw europejskich</w:t>
            </w:r>
            <w:r w:rsidRPr="00EC4E3A">
              <w:rPr>
                <w:rFonts w:eastAsia="Cambria"/>
              </w:rPr>
              <w:t xml:space="preserve">, w: </w:t>
            </w:r>
            <w:r w:rsidRPr="00EC4E3A">
              <w:rPr>
                <w:rFonts w:eastAsia="Cambria"/>
                <w:i/>
              </w:rPr>
              <w:t>Kultura i Prawo</w:t>
            </w:r>
            <w:r w:rsidRPr="00EC4E3A">
              <w:rPr>
                <w:rFonts w:eastAsia="Cambria"/>
              </w:rPr>
              <w:t xml:space="preserve">, red. J. Krukowski, O. </w:t>
            </w:r>
            <w:proofErr w:type="spellStart"/>
            <w:r w:rsidRPr="00EC4E3A">
              <w:rPr>
                <w:rFonts w:eastAsia="Cambria"/>
              </w:rPr>
              <w:t>Theisen</w:t>
            </w:r>
            <w:proofErr w:type="spellEnd"/>
            <w:r w:rsidRPr="00EC4E3A">
              <w:rPr>
                <w:rFonts w:eastAsia="Cambria"/>
              </w:rPr>
              <w:t>, Lublin 2003, 43-73.</w:t>
            </w:r>
          </w:p>
          <w:p w:rsidR="00EC4E3A" w:rsidRPr="00EC4E3A" w:rsidRDefault="00EC4E3A" w:rsidP="00EC4E3A">
            <w:pPr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J. Krukowski, </w:t>
            </w:r>
            <w:r w:rsidRPr="00EC4E3A">
              <w:rPr>
                <w:rFonts w:eastAsia="Cambria"/>
                <w:i/>
              </w:rPr>
              <w:t>Kościół i państwo. Podstawy relacji prawnych</w:t>
            </w:r>
            <w:r w:rsidRPr="00EC4E3A">
              <w:rPr>
                <w:rFonts w:eastAsia="Cambria"/>
              </w:rPr>
              <w:t>, Lublin 2000</w:t>
            </w:r>
          </w:p>
          <w:p w:rsidR="00EC4E3A" w:rsidRPr="00EC4E3A" w:rsidRDefault="00EC4E3A" w:rsidP="00EC4E3A">
            <w:pPr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</w:rPr>
              <w:t xml:space="preserve">J. Krukowski, </w:t>
            </w:r>
            <w:r w:rsidRPr="00EC4E3A">
              <w:rPr>
                <w:rFonts w:eastAsia="Cambria"/>
                <w:i/>
              </w:rPr>
              <w:t xml:space="preserve">Polskie prawo wyznaniowe, </w:t>
            </w:r>
            <w:r w:rsidRPr="00EC4E3A">
              <w:rPr>
                <w:rFonts w:eastAsia="Cambria"/>
              </w:rPr>
              <w:t>Warszawa 2005</w:t>
            </w:r>
          </w:p>
          <w:p w:rsidR="00EC4E3A" w:rsidRPr="00EC4E3A" w:rsidRDefault="00EC4E3A" w:rsidP="00EC4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</w:rPr>
            </w:pPr>
            <w:r w:rsidRPr="00EC4E3A">
              <w:rPr>
                <w:rFonts w:eastAsia="Cambria"/>
                <w:i/>
              </w:rPr>
              <w:lastRenderedPageBreak/>
              <w:t>Prawo wyznaniowe w Polsce (1989-2009)</w:t>
            </w:r>
            <w:r w:rsidRPr="00EC4E3A">
              <w:rPr>
                <w:rFonts w:eastAsia="Cambria"/>
              </w:rPr>
              <w:t>, red. D. Walencik, Katowice-Bielsko-Biała 2009</w:t>
            </w:r>
          </w:p>
          <w:p w:rsidR="00CC5E12" w:rsidRPr="005E6E85" w:rsidRDefault="00EC4E3A" w:rsidP="00EC4E3A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EC4E3A">
              <w:rPr>
                <w:rFonts w:ascii="Calibri" w:eastAsia="Cambria" w:hAnsi="Calibri"/>
                <w:b w:val="0"/>
                <w:smallCaps w:val="0"/>
                <w:sz w:val="22"/>
              </w:rPr>
              <w:t xml:space="preserve">B. Rakoczy, </w:t>
            </w:r>
            <w:r w:rsidRPr="00EC4E3A">
              <w:rPr>
                <w:rFonts w:ascii="Calibri" w:eastAsia="Cambria" w:hAnsi="Calibri"/>
                <w:b w:val="0"/>
                <w:i/>
                <w:smallCaps w:val="0"/>
                <w:sz w:val="22"/>
              </w:rPr>
              <w:t>Ustawa o stosunku państwa do Kościoła katolickiego w RP. Komentarz</w:t>
            </w:r>
            <w:r w:rsidRPr="00EC4E3A">
              <w:rPr>
                <w:rFonts w:ascii="Calibri" w:eastAsia="Cambria" w:hAnsi="Calibri"/>
                <w:b w:val="0"/>
                <w:smallCaps w:val="0"/>
                <w:sz w:val="22"/>
              </w:rPr>
              <w:t>, Warszawa 2008.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E12"/>
    <w:rsid w:val="0003388A"/>
    <w:rsid w:val="00185992"/>
    <w:rsid w:val="001F486C"/>
    <w:rsid w:val="00237C15"/>
    <w:rsid w:val="00245D04"/>
    <w:rsid w:val="002779F3"/>
    <w:rsid w:val="00312137"/>
    <w:rsid w:val="004E695D"/>
    <w:rsid w:val="0053135E"/>
    <w:rsid w:val="00564888"/>
    <w:rsid w:val="006027BC"/>
    <w:rsid w:val="007D3B36"/>
    <w:rsid w:val="00875C1B"/>
    <w:rsid w:val="00A11F70"/>
    <w:rsid w:val="00A2468A"/>
    <w:rsid w:val="00A846F6"/>
    <w:rsid w:val="00BE66A9"/>
    <w:rsid w:val="00BF2155"/>
    <w:rsid w:val="00CC5E12"/>
    <w:rsid w:val="00D31E27"/>
    <w:rsid w:val="00D32A91"/>
    <w:rsid w:val="00E65B06"/>
    <w:rsid w:val="00E81F20"/>
    <w:rsid w:val="00EB0AD7"/>
    <w:rsid w:val="00EC4E3A"/>
    <w:rsid w:val="00F614A7"/>
    <w:rsid w:val="00F77E0B"/>
    <w:rsid w:val="00F7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3121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1213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1031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4</cp:revision>
  <dcterms:created xsi:type="dcterms:W3CDTF">2015-04-28T06:31:00Z</dcterms:created>
  <dcterms:modified xsi:type="dcterms:W3CDTF">2016-10-06T08:16:00Z</dcterms:modified>
</cp:coreProperties>
</file>